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190500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ETON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1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001-38738</w:t>
            </w:r>
          </w:p>
        </w:tc>
        <w:tc>
          <w:tcPr>
            <w:tcW w:w="22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37-1858472</w:t>
            </w:r>
          </w:p>
        </w:tc>
      </w:tr>
      <w:tr>
        <w:trPr>
          <w:trHeight w:val="216"/>
        </w:trPr>
        <w:tc>
          <w:tcPr>
            <w:tcW w:w="1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(State of</w:t>
            </w: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1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1700" w:type="dxa"/>
            <w:vAlign w:val="bottom"/>
          </w:tcPr>
          <w:p>
            <w:pPr>
              <w:spacing w:after="0"/>
              <w:rPr>
                <w:sz w:val="24"/>
                <w:szCs w:val="24"/>
                <w:color w:val="auto"/>
              </w:rPr>
            </w:pPr>
          </w:p>
        </w:tc>
        <w:tc>
          <w:tcPr>
            <w:tcW w:w="5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21925 W. Field Parkway, Suite 235</w:t>
            </w:r>
          </w:p>
        </w:tc>
        <w:tc>
          <w:tcPr>
            <w:tcW w:w="220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Deer Park, Illinois 60010-7278</w:t>
            </w:r>
          </w:p>
        </w:tc>
        <w:tc>
          <w:tcPr>
            <w:tcW w:w="220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20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(847) 787-7361</w:t>
            </w:r>
          </w:p>
        </w:tc>
        <w:tc>
          <w:tcPr>
            <w:tcW w:w="2200" w:type="dxa"/>
            <w:vAlign w:val="bottom"/>
          </w:tcPr>
          <w:p>
            <w:pPr>
              <w:spacing w:after="0"/>
              <w:rPr>
                <w:sz w:val="24"/>
                <w:szCs w:val="24"/>
                <w:color w:val="auto"/>
              </w:rPr>
            </w:pPr>
          </w:p>
        </w:tc>
      </w:tr>
      <w:tr>
        <w:trPr>
          <w:trHeight w:val="238"/>
        </w:trPr>
        <w:tc>
          <w:tcPr>
            <w:tcW w:w="1700" w:type="dxa"/>
            <w:vAlign w:val="bottom"/>
          </w:tcPr>
          <w:p>
            <w:pPr>
              <w:spacing w:after="0"/>
              <w:rPr>
                <w:sz w:val="20"/>
                <w:szCs w:val="20"/>
                <w:color w:val="auto"/>
              </w:rPr>
            </w:pPr>
          </w:p>
        </w:tc>
        <w:tc>
          <w:tcPr>
            <w:tcW w:w="5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2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ETON</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0" w:firstLine="486"/>
        <w:spacing w:after="0" w:line="289" w:lineRule="auto"/>
        <w:rPr>
          <w:sz w:val="20"/>
          <w:szCs w:val="20"/>
          <w:color w:val="auto"/>
        </w:rPr>
      </w:pPr>
      <w:r>
        <w:rPr>
          <w:rFonts w:ascii="Times New Roman" w:cs="Times New Roman" w:eastAsia="Times New Roman" w:hAnsi="Times New Roman"/>
          <w:sz w:val="17"/>
          <w:szCs w:val="17"/>
          <w:color w:val="auto"/>
        </w:rPr>
        <w:t>The 2026 Annual Meeting of Stockholders (the “Annual Meeting”) of Eton Pharmaceuticals, Inc. (the “Company”) was held virtually on June 9, 2026. At the meeting, the Company’s stockholders (1) elected the director nominees Jenn Adams and Charles J. Casamento for a three-year term and (2) ratified the appointment of Grant Thornton LLP as the Company’s independent registered public accounting firm for the year ending December 31, 2026.</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results for each of the matters voted upon by the Company’s stockholders at the Annual Meeting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tc>
        <w:tc>
          <w:tcPr>
            <w:tcW w:w="1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Nominee</w:t>
            </w:r>
          </w:p>
        </w:tc>
        <w:tc>
          <w:tcPr>
            <w:tcW w:w="1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w:t>
            </w:r>
          </w:p>
        </w:tc>
        <w:tc>
          <w:tcPr>
            <w:tcW w:w="2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Withheld</w:t>
            </w:r>
          </w:p>
        </w:tc>
        <w:tc>
          <w:tcPr>
            <w:tcW w:w="4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 Adams</w:t>
            </w:r>
          </w:p>
        </w:tc>
        <w:tc>
          <w:tcPr>
            <w:tcW w:w="1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13,370,948</w:t>
            </w:r>
          </w:p>
        </w:tc>
        <w:tc>
          <w:tcPr>
            <w:tcW w:w="2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2,149,317</w:t>
            </w:r>
          </w:p>
        </w:tc>
        <w:tc>
          <w:tcPr>
            <w:tcW w:w="4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4,664,035</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Charles J. Casamento</w:t>
            </w:r>
          </w:p>
        </w:tc>
        <w:tc>
          <w:tcPr>
            <w:tcW w:w="1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9,925,548</w:t>
            </w:r>
          </w:p>
        </w:tc>
        <w:tc>
          <w:tcPr>
            <w:tcW w:w="2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5,594,717</w:t>
            </w:r>
          </w:p>
        </w:tc>
        <w:tc>
          <w:tcPr>
            <w:tcW w:w="4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4,664,035</w:t>
            </w:r>
          </w:p>
        </w:tc>
      </w:tr>
    </w:tbl>
    <w:p>
      <w:pPr>
        <w:spacing w:after="0" w:line="17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Proposal 2: Ratification of the Appointment of Grant Thornton LLP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Independent Registered Public Accounting Firm for the year ending December 31,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Against</w:t>
            </w:r>
          </w:p>
        </w:tc>
        <w:tc>
          <w:tcPr>
            <w:tcW w:w="52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16,942,328</w:t>
            </w:r>
          </w:p>
        </w:tc>
        <w:tc>
          <w:tcPr>
            <w:tcW w:w="37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3,236,671</w:t>
            </w:r>
          </w:p>
        </w:tc>
        <w:tc>
          <w:tcPr>
            <w:tcW w:w="52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5,301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Judith Matthews</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Judith Matthews</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2026-06-09T15:53:29Z</dcterms:created>
  <dcterms:modified xsi:type="dcterms:W3CDTF">2026-06-09T15:53:29Z</dcterms:modified>
</cp:coreProperties>
</file>